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2DD408" w14:textId="77777777" w:rsidR="007B0EDD" w:rsidRDefault="007B0ED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  <w:bookmarkStart w:id="0" w:name="_GoBack"/>
      <w:bookmarkEnd w:id="0"/>
    </w:p>
    <w:tbl>
      <w:tblPr>
        <w:tblStyle w:val="a1"/>
        <w:tblW w:w="9830" w:type="dxa"/>
        <w:tblInd w:w="-54" w:type="dxa"/>
        <w:tblLayout w:type="fixed"/>
        <w:tblLook w:val="0000" w:firstRow="0" w:lastRow="0" w:firstColumn="0" w:lastColumn="0" w:noHBand="0" w:noVBand="0"/>
      </w:tblPr>
      <w:tblGrid>
        <w:gridCol w:w="3368"/>
        <w:gridCol w:w="6462"/>
      </w:tblGrid>
      <w:tr w:rsidR="00352512" w14:paraId="1D15FDBB" w14:textId="77777777" w:rsidTr="00793F61">
        <w:trPr>
          <w:trHeight w:val="1"/>
        </w:trPr>
        <w:tc>
          <w:tcPr>
            <w:tcW w:w="33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C3696" w14:textId="77777777" w:rsidR="00352512" w:rsidRDefault="00352512" w:rsidP="00352512">
            <w:pPr>
              <w:widowControl w:val="0"/>
              <w:spacing w:before="240" w:line="276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6C8380E3" wp14:editId="1A4F7BE4">
                  <wp:extent cx="2066925" cy="762000"/>
                  <wp:effectExtent l="0" t="0" r="9525" 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6925" cy="762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2989F" w14:textId="2FC4CF50" w:rsidR="00352512" w:rsidRDefault="00352512" w:rsidP="00352512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</w:rPr>
            </w:pPr>
            <w:r w:rsidRPr="002924AC">
              <w:rPr>
                <w:rFonts w:eastAsia="Calibri"/>
                <w:b/>
                <w:sz w:val="22"/>
                <w:szCs w:val="22"/>
              </w:rPr>
              <w:t xml:space="preserve">FISIOTERAPIA - ENTREGA SEMANAL </w:t>
            </w:r>
            <w:r>
              <w:rPr>
                <w:rFonts w:eastAsia="Calibri"/>
                <w:b/>
                <w:sz w:val="22"/>
                <w:szCs w:val="22"/>
              </w:rPr>
              <w:t>3</w:t>
            </w:r>
          </w:p>
        </w:tc>
      </w:tr>
      <w:tr w:rsidR="007B0EDD" w14:paraId="06D12E58" w14:textId="77777777" w:rsidTr="00A60CFE">
        <w:trPr>
          <w:trHeight w:val="337"/>
        </w:trPr>
        <w:tc>
          <w:tcPr>
            <w:tcW w:w="3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3ACF9" w14:textId="77777777" w:rsidR="007B0EDD" w:rsidRDefault="007B0EDD" w:rsidP="00352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FFB595" w14:textId="77777777" w:rsidR="007B0EDD" w:rsidRPr="002924AC" w:rsidRDefault="007B0EDD" w:rsidP="00352512">
            <w:pPr>
              <w:widowControl w:val="0"/>
              <w:spacing w:line="276" w:lineRule="auto"/>
              <w:ind w:right="-1532"/>
              <w:rPr>
                <w:rFonts w:eastAsia="Calibri"/>
                <w:sz w:val="22"/>
                <w:szCs w:val="22"/>
              </w:rPr>
            </w:pPr>
          </w:p>
          <w:p w14:paraId="1EE5E8FA" w14:textId="77777777" w:rsidR="007B0EDD" w:rsidRPr="002924AC" w:rsidRDefault="00B54884" w:rsidP="00352512">
            <w:pPr>
              <w:widowControl w:val="0"/>
              <w:spacing w:line="276" w:lineRule="auto"/>
              <w:ind w:right="-1532"/>
              <w:rPr>
                <w:rFonts w:eastAsia="Calibri"/>
                <w:b/>
                <w:sz w:val="22"/>
                <w:szCs w:val="22"/>
              </w:rPr>
            </w:pPr>
            <w:r w:rsidRPr="002924AC">
              <w:rPr>
                <w:rFonts w:eastAsia="Calibri"/>
                <w:b/>
                <w:sz w:val="22"/>
                <w:szCs w:val="22"/>
              </w:rPr>
              <w:t xml:space="preserve">Projeto: </w:t>
            </w:r>
            <w:r w:rsidR="0017498F" w:rsidRPr="002924AC">
              <w:rPr>
                <w:rFonts w:eastAsia="Calibri"/>
                <w:b/>
                <w:sz w:val="22"/>
                <w:szCs w:val="22"/>
              </w:rPr>
              <w:t>Diagnóstico e Plano terapêutico Dermatofuncional</w:t>
            </w:r>
          </w:p>
          <w:p w14:paraId="75277C1C" w14:textId="77777777" w:rsidR="007B0EDD" w:rsidRPr="002924AC" w:rsidRDefault="00B54884" w:rsidP="00352512">
            <w:pPr>
              <w:widowControl w:val="0"/>
              <w:spacing w:line="276" w:lineRule="auto"/>
              <w:ind w:right="-1532"/>
              <w:rPr>
                <w:rFonts w:eastAsia="Calibri"/>
                <w:b/>
                <w:sz w:val="22"/>
                <w:szCs w:val="22"/>
              </w:rPr>
            </w:pPr>
            <w:r w:rsidRPr="002924AC">
              <w:rPr>
                <w:rFonts w:eastAsia="Calibri"/>
                <w:b/>
                <w:sz w:val="22"/>
                <w:szCs w:val="22"/>
              </w:rPr>
              <w:t>Professores: Colegiado de Fisioterapia</w:t>
            </w:r>
          </w:p>
        </w:tc>
      </w:tr>
      <w:tr w:rsidR="007B0EDD" w14:paraId="0699D1FA" w14:textId="77777777" w:rsidTr="00A60CFE">
        <w:trPr>
          <w:trHeight w:val="829"/>
        </w:trPr>
        <w:tc>
          <w:tcPr>
            <w:tcW w:w="3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B964D" w14:textId="77777777" w:rsidR="007B0EDD" w:rsidRDefault="007B0EDD" w:rsidP="003525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5F1C184" w14:textId="77777777" w:rsidR="007B0EDD" w:rsidRPr="002924AC" w:rsidRDefault="007B0EDD" w:rsidP="00352512">
            <w:pPr>
              <w:widowControl w:val="0"/>
              <w:spacing w:line="276" w:lineRule="auto"/>
              <w:ind w:right="-1532"/>
              <w:rPr>
                <w:rFonts w:eastAsia="Calibri"/>
                <w:sz w:val="22"/>
                <w:szCs w:val="22"/>
              </w:rPr>
            </w:pPr>
          </w:p>
        </w:tc>
      </w:tr>
      <w:tr w:rsidR="007B0EDD" w14:paraId="1D461D46" w14:textId="77777777" w:rsidTr="00A60CFE">
        <w:trPr>
          <w:trHeight w:val="46"/>
        </w:trPr>
        <w:tc>
          <w:tcPr>
            <w:tcW w:w="9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9224F" w14:textId="2A5632B2" w:rsidR="007B0EDD" w:rsidRPr="002924AC" w:rsidRDefault="00B54884" w:rsidP="00352512">
            <w:pPr>
              <w:widowControl w:val="0"/>
              <w:spacing w:before="120" w:after="120" w:line="276" w:lineRule="auto"/>
              <w:rPr>
                <w:rFonts w:eastAsia="Calibri"/>
                <w:sz w:val="22"/>
                <w:szCs w:val="22"/>
              </w:rPr>
            </w:pPr>
            <w:r w:rsidRPr="002924AC">
              <w:rPr>
                <w:rFonts w:eastAsia="Calibri"/>
                <w:b/>
                <w:sz w:val="22"/>
                <w:szCs w:val="22"/>
              </w:rPr>
              <w:t xml:space="preserve">Nome: </w:t>
            </w:r>
            <w:r>
              <w:rPr>
                <w:rFonts w:eastAsia="Calibri"/>
                <w:b/>
                <w:sz w:val="22"/>
                <w:szCs w:val="22"/>
              </w:rPr>
              <w:t>Rockson André Fritzen</w:t>
            </w:r>
          </w:p>
        </w:tc>
      </w:tr>
      <w:tr w:rsidR="007B0EDD" w:rsidRPr="0001672A" w14:paraId="47541DE4" w14:textId="77777777" w:rsidTr="00A60CFE">
        <w:trPr>
          <w:trHeight w:val="1"/>
        </w:trPr>
        <w:tc>
          <w:tcPr>
            <w:tcW w:w="9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15139" w14:textId="53368E97" w:rsidR="007B0EDD" w:rsidRPr="0001672A" w:rsidRDefault="00A60CFE" w:rsidP="00352512">
            <w:pPr>
              <w:widowControl w:val="0"/>
              <w:spacing w:before="120" w:after="120" w:line="276" w:lineRule="auto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1672A">
              <w:rPr>
                <w:rFonts w:eastAsia="Calibri"/>
                <w:bCs/>
                <w:sz w:val="22"/>
                <w:szCs w:val="22"/>
              </w:rPr>
              <w:t xml:space="preserve">Caso clínico – </w:t>
            </w:r>
            <w:r w:rsidR="0001672A" w:rsidRPr="0001672A">
              <w:rPr>
                <w:rFonts w:eastAsia="Calibri"/>
                <w:bCs/>
                <w:sz w:val="22"/>
                <w:szCs w:val="22"/>
              </w:rPr>
              <w:t>Queimadura</w:t>
            </w:r>
          </w:p>
          <w:p w14:paraId="5AF7F29E" w14:textId="77777777" w:rsidR="0001672A" w:rsidRPr="0001672A" w:rsidRDefault="0001672A" w:rsidP="00352512">
            <w:pPr>
              <w:widowControl w:val="0"/>
              <w:spacing w:before="120" w:after="120" w:line="276" w:lineRule="auto"/>
              <w:ind w:left="709" w:right="507"/>
              <w:jc w:val="both"/>
              <w:rPr>
                <w:rFonts w:eastAsia="Calibri"/>
                <w:bCs/>
                <w:sz w:val="22"/>
                <w:szCs w:val="22"/>
              </w:rPr>
            </w:pPr>
          </w:p>
          <w:p w14:paraId="12F9B75B" w14:textId="647FFA9E" w:rsidR="0001672A" w:rsidRPr="0001672A" w:rsidRDefault="0001672A" w:rsidP="00352512">
            <w:pPr>
              <w:widowControl w:val="0"/>
              <w:spacing w:before="120" w:after="120" w:line="276" w:lineRule="auto"/>
              <w:ind w:left="709" w:right="507"/>
              <w:jc w:val="both"/>
              <w:rPr>
                <w:rFonts w:eastAsia="Calibri"/>
                <w:bCs/>
                <w:sz w:val="22"/>
                <w:szCs w:val="22"/>
              </w:rPr>
            </w:pPr>
            <w:r w:rsidRPr="0001672A">
              <w:rPr>
                <w:rFonts w:eastAsia="Calibri"/>
                <w:bCs/>
                <w:sz w:val="22"/>
                <w:szCs w:val="22"/>
              </w:rPr>
              <w:t xml:space="preserve">J.H.P., masculino, 14 anos, estava dormindo em sua casa quando o micro-ondas entrou em curto-circuito, iniciando um incêndio. Ele consegue </w:t>
            </w:r>
            <w:r w:rsidR="001A5ECB">
              <w:rPr>
                <w:rFonts w:eastAsia="Calibri"/>
                <w:bCs/>
                <w:sz w:val="22"/>
                <w:szCs w:val="22"/>
              </w:rPr>
              <w:t>sair da casa,</w:t>
            </w:r>
            <w:r w:rsidRPr="0001672A">
              <w:rPr>
                <w:rFonts w:eastAsia="Calibri"/>
                <w:bCs/>
                <w:sz w:val="22"/>
                <w:szCs w:val="22"/>
              </w:rPr>
              <w:t xml:space="preserve"> junto com sua família</w:t>
            </w:r>
            <w:r w:rsidR="001A5ECB">
              <w:rPr>
                <w:rFonts w:eastAsia="Calibri"/>
                <w:bCs/>
                <w:sz w:val="22"/>
                <w:szCs w:val="22"/>
              </w:rPr>
              <w:t>,</w:t>
            </w:r>
            <w:r w:rsidRPr="0001672A">
              <w:rPr>
                <w:rFonts w:eastAsia="Calibri"/>
                <w:bCs/>
                <w:sz w:val="22"/>
                <w:szCs w:val="22"/>
              </w:rPr>
              <w:t xml:space="preserve"> do local já em chamas. Minutos após o ocorrido, a equipe de bombeiros e socorristas do SAMU chega ao local. Em primeiro lugar, realizam a avaliação da segurança e isolamento da área, já em uso dos devidos EPI’s. Então, inicia-se a avaliação primária do paciente. Percebe-se que ele se encontra consciente, levemente desorientado e sem presença de sangramentos exsanguinantes. Quanto à avaliação das vias aéreas, estas estavam pérvias, porém foi observado uso da musculatura acessória para respirar, tosse produtiva e rouquidão, sinais de inalação por fumaça. Em seguida, foi feita uma intubação orotraqueal, visando a manutenção da perviedade das vias aéreas. Foi preciso uma atenção especial à fixação do tubo endotraqueal por se tratar de um paciente com queimadura facial. Foi constatado ainda queimaduras de segundo grau profundo e terceiro grau em pernas bilateralmente (anterior e posteriormente), região genital, tórax,</w:t>
            </w:r>
            <w:r w:rsidR="00C10B8A">
              <w:rPr>
                <w:rFonts w:eastAsia="Calibri"/>
                <w:bCs/>
                <w:sz w:val="22"/>
                <w:szCs w:val="22"/>
              </w:rPr>
              <w:t xml:space="preserve"> abdômen,</w:t>
            </w:r>
            <w:r w:rsidRPr="0001672A">
              <w:rPr>
                <w:rFonts w:eastAsia="Calibri"/>
                <w:bCs/>
                <w:sz w:val="22"/>
                <w:szCs w:val="22"/>
              </w:rPr>
              <w:t xml:space="preserve"> dorso, braço direito (região posterior) e face.</w:t>
            </w:r>
          </w:p>
          <w:p w14:paraId="3CFC0A65" w14:textId="1CBE726A" w:rsidR="0001672A" w:rsidRPr="0001672A" w:rsidRDefault="0001672A" w:rsidP="00352512">
            <w:pPr>
              <w:widowControl w:val="0"/>
              <w:spacing w:before="120" w:after="120" w:line="276" w:lineRule="auto"/>
              <w:ind w:left="709" w:right="507"/>
              <w:jc w:val="both"/>
              <w:rPr>
                <w:rFonts w:eastAsia="Calibri"/>
                <w:bCs/>
                <w:sz w:val="22"/>
                <w:szCs w:val="22"/>
              </w:rPr>
            </w:pPr>
            <w:r w:rsidRPr="0001672A">
              <w:rPr>
                <w:rFonts w:eastAsia="Calibri"/>
                <w:bCs/>
                <w:sz w:val="22"/>
                <w:szCs w:val="22"/>
              </w:rPr>
              <w:t xml:space="preserve">Em seguida, foram aplicados dois cateteres IV de grande calibre no braço esquerdo, para reposição hídrica com Ringer Lactato de 7200ml nas primeiras 8 horas e a mesma quantidade nas 16 horas subsequentes. Sinais vitais: FC = 120bpm; FR = 20ipm; PA = 80 x 50mmHg; SpO2 = 97%. </w:t>
            </w:r>
          </w:p>
          <w:p w14:paraId="079A91D7" w14:textId="51381F61" w:rsidR="0001672A" w:rsidRPr="0001672A" w:rsidRDefault="0001672A" w:rsidP="00352512">
            <w:pPr>
              <w:widowControl w:val="0"/>
              <w:spacing w:before="120" w:after="120" w:line="276" w:lineRule="auto"/>
              <w:ind w:left="709" w:right="507"/>
              <w:jc w:val="both"/>
              <w:rPr>
                <w:rFonts w:eastAsia="Calibri"/>
                <w:bCs/>
                <w:sz w:val="22"/>
                <w:szCs w:val="22"/>
              </w:rPr>
            </w:pPr>
            <w:r w:rsidRPr="0001672A">
              <w:rPr>
                <w:rFonts w:eastAsia="Calibri"/>
                <w:bCs/>
                <w:sz w:val="22"/>
                <w:szCs w:val="22"/>
              </w:rPr>
              <w:t xml:space="preserve">Dentro da ambulância, os membros queimados do paciente são mantidos elevados enquanto a avaliação secundária é realizada. No exame da cabeça aos pés não houve nenhum achado. </w:t>
            </w:r>
          </w:p>
          <w:p w14:paraId="69971F9C" w14:textId="7579CE37" w:rsidR="0001672A" w:rsidRPr="0001672A" w:rsidRDefault="0001672A" w:rsidP="00B54884">
            <w:pPr>
              <w:widowControl w:val="0"/>
              <w:spacing w:before="120" w:after="120" w:line="276" w:lineRule="auto"/>
              <w:ind w:left="709" w:right="507"/>
              <w:jc w:val="both"/>
              <w:rPr>
                <w:rFonts w:eastAsia="Calibri"/>
                <w:bCs/>
                <w:sz w:val="22"/>
                <w:szCs w:val="22"/>
              </w:rPr>
            </w:pPr>
            <w:r w:rsidRPr="0001672A">
              <w:rPr>
                <w:rFonts w:eastAsia="Calibri"/>
                <w:bCs/>
                <w:sz w:val="22"/>
                <w:szCs w:val="22"/>
              </w:rPr>
              <w:t>Ao chegar ao Centro de Queimados, o paciente teve seguimento do seu tratamento, onde foram aplicadas pomadas analgésicas e antibióticas, sem demais complicações.</w:t>
            </w:r>
          </w:p>
          <w:p w14:paraId="65A49064" w14:textId="77777777" w:rsidR="0001672A" w:rsidRPr="0001672A" w:rsidRDefault="0001672A" w:rsidP="00352512">
            <w:pPr>
              <w:widowControl w:val="0"/>
              <w:spacing w:before="120" w:after="120" w:line="276" w:lineRule="auto"/>
              <w:ind w:left="709" w:right="507"/>
              <w:jc w:val="both"/>
              <w:rPr>
                <w:rFonts w:eastAsia="Calibri"/>
                <w:bCs/>
                <w:sz w:val="22"/>
                <w:szCs w:val="22"/>
              </w:rPr>
            </w:pPr>
            <w:r w:rsidRPr="0001672A">
              <w:rPr>
                <w:rFonts w:eastAsia="Calibri"/>
                <w:bCs/>
                <w:sz w:val="22"/>
                <w:szCs w:val="22"/>
              </w:rPr>
              <w:t>Questões para orientar a discussão</w:t>
            </w:r>
          </w:p>
          <w:p w14:paraId="540FCD3D" w14:textId="3A358EF4" w:rsidR="00C10B8A" w:rsidRPr="00B54884" w:rsidRDefault="00C10B8A" w:rsidP="00352512">
            <w:pPr>
              <w:pStyle w:val="PargrafodaLista"/>
              <w:widowControl w:val="0"/>
              <w:numPr>
                <w:ilvl w:val="0"/>
                <w:numId w:val="2"/>
              </w:numPr>
              <w:spacing w:before="120" w:after="120" w:line="276" w:lineRule="auto"/>
              <w:ind w:left="709" w:right="507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B54884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De acordo com a regra dos 9, qual a porcentagem de área corporal queimada e qual a gravidade do caso?</w:t>
            </w:r>
          </w:p>
          <w:p w14:paraId="589ACE30" w14:textId="7F263A14" w:rsidR="00AB35DE" w:rsidRPr="00B54884" w:rsidRDefault="00AB35DE" w:rsidP="00AB35DE">
            <w:pPr>
              <w:ind w:left="709"/>
              <w:rPr>
                <w:rFonts w:ascii="Arial" w:hAnsi="Arial" w:cs="Arial"/>
                <w:sz w:val="22"/>
                <w:szCs w:val="22"/>
              </w:rPr>
            </w:pPr>
            <w:r w:rsidRPr="00B54884">
              <w:rPr>
                <w:rFonts w:ascii="Arial" w:eastAsia="Calibri" w:hAnsi="Arial" w:cs="Arial"/>
                <w:bCs/>
                <w:sz w:val="22"/>
                <w:szCs w:val="22"/>
              </w:rPr>
              <w:t xml:space="preserve"> </w:t>
            </w:r>
            <w:r w:rsidRPr="00B54884">
              <w:rPr>
                <w:rFonts w:ascii="Arial" w:hAnsi="Arial" w:cs="Arial"/>
                <w:sz w:val="22"/>
                <w:szCs w:val="22"/>
              </w:rPr>
              <w:t>A regra dos 9 é uma ferramenta usada para estimar a porcentagem da superfície corporal queimada em adultos. Segundo a regra:</w:t>
            </w:r>
          </w:p>
          <w:p w14:paraId="45E4DF7A" w14:textId="77777777" w:rsidR="00AB35DE" w:rsidRPr="00B54884" w:rsidRDefault="00AB35DE" w:rsidP="00AB35DE">
            <w:pPr>
              <w:rPr>
                <w:rFonts w:ascii="Arial" w:hAnsi="Arial" w:cs="Arial"/>
                <w:sz w:val="22"/>
                <w:szCs w:val="22"/>
              </w:rPr>
            </w:pPr>
          </w:p>
          <w:p w14:paraId="785E3591" w14:textId="77777777" w:rsidR="00AB35DE" w:rsidRPr="00B54884" w:rsidRDefault="00AB35DE" w:rsidP="00AB35DE">
            <w:pPr>
              <w:ind w:firstLine="709"/>
              <w:rPr>
                <w:rFonts w:ascii="Arial" w:hAnsi="Arial" w:cs="Arial"/>
                <w:sz w:val="22"/>
                <w:szCs w:val="22"/>
              </w:rPr>
            </w:pPr>
            <w:r w:rsidRPr="00B54884">
              <w:rPr>
                <w:rFonts w:ascii="Arial" w:hAnsi="Arial" w:cs="Arial"/>
                <w:sz w:val="22"/>
                <w:szCs w:val="22"/>
              </w:rPr>
              <w:t>Cabeça e pescoço: 9%</w:t>
            </w:r>
          </w:p>
          <w:p w14:paraId="5139EB3E" w14:textId="77777777" w:rsidR="00AB35DE" w:rsidRPr="00B54884" w:rsidRDefault="00AB35DE" w:rsidP="00AB35DE">
            <w:pPr>
              <w:ind w:firstLine="709"/>
              <w:rPr>
                <w:rFonts w:ascii="Arial" w:hAnsi="Arial" w:cs="Arial"/>
                <w:sz w:val="22"/>
                <w:szCs w:val="22"/>
              </w:rPr>
            </w:pPr>
            <w:r w:rsidRPr="00B54884">
              <w:rPr>
                <w:rFonts w:ascii="Arial" w:hAnsi="Arial" w:cs="Arial"/>
                <w:sz w:val="22"/>
                <w:szCs w:val="22"/>
              </w:rPr>
              <w:t>Cada braço: 9%</w:t>
            </w:r>
          </w:p>
          <w:p w14:paraId="36029532" w14:textId="77777777" w:rsidR="00AB35DE" w:rsidRPr="00B54884" w:rsidRDefault="00AB35DE" w:rsidP="00AB35DE">
            <w:pPr>
              <w:ind w:firstLine="709"/>
              <w:rPr>
                <w:rFonts w:ascii="Arial" w:hAnsi="Arial" w:cs="Arial"/>
                <w:sz w:val="22"/>
                <w:szCs w:val="22"/>
              </w:rPr>
            </w:pPr>
            <w:r w:rsidRPr="00B54884">
              <w:rPr>
                <w:rFonts w:ascii="Arial" w:hAnsi="Arial" w:cs="Arial"/>
                <w:sz w:val="22"/>
                <w:szCs w:val="22"/>
              </w:rPr>
              <w:t>Cada perna: 18%</w:t>
            </w:r>
          </w:p>
          <w:p w14:paraId="1C2279AE" w14:textId="77777777" w:rsidR="00AB35DE" w:rsidRPr="00B54884" w:rsidRDefault="00AB35DE" w:rsidP="00AB35DE">
            <w:pPr>
              <w:ind w:firstLine="709"/>
              <w:rPr>
                <w:rFonts w:ascii="Arial" w:hAnsi="Arial" w:cs="Arial"/>
                <w:sz w:val="22"/>
                <w:szCs w:val="22"/>
              </w:rPr>
            </w:pPr>
            <w:r w:rsidRPr="00B54884">
              <w:rPr>
                <w:rFonts w:ascii="Arial" w:hAnsi="Arial" w:cs="Arial"/>
                <w:sz w:val="22"/>
                <w:szCs w:val="22"/>
              </w:rPr>
              <w:t>Tronco anterior: 18%</w:t>
            </w:r>
          </w:p>
          <w:p w14:paraId="71A2CBDE" w14:textId="77777777" w:rsidR="00AB35DE" w:rsidRPr="00B54884" w:rsidRDefault="00AB35DE" w:rsidP="00AB35DE">
            <w:pPr>
              <w:ind w:firstLine="709"/>
              <w:rPr>
                <w:rFonts w:ascii="Arial" w:hAnsi="Arial" w:cs="Arial"/>
                <w:sz w:val="22"/>
                <w:szCs w:val="22"/>
              </w:rPr>
            </w:pPr>
            <w:r w:rsidRPr="00B54884">
              <w:rPr>
                <w:rFonts w:ascii="Arial" w:hAnsi="Arial" w:cs="Arial"/>
                <w:sz w:val="22"/>
                <w:szCs w:val="22"/>
              </w:rPr>
              <w:t>Tronco posterior: 18%</w:t>
            </w:r>
          </w:p>
          <w:p w14:paraId="0D7404AE" w14:textId="77777777" w:rsidR="00AB35DE" w:rsidRPr="00B54884" w:rsidRDefault="00AB35DE" w:rsidP="00AB35DE">
            <w:pPr>
              <w:ind w:firstLine="709"/>
              <w:rPr>
                <w:rFonts w:ascii="Arial" w:hAnsi="Arial" w:cs="Arial"/>
                <w:sz w:val="22"/>
                <w:szCs w:val="22"/>
              </w:rPr>
            </w:pPr>
            <w:r w:rsidRPr="00B54884">
              <w:rPr>
                <w:rFonts w:ascii="Arial" w:hAnsi="Arial" w:cs="Arial"/>
                <w:sz w:val="22"/>
                <w:szCs w:val="22"/>
              </w:rPr>
              <w:t>Região genital: 1%</w:t>
            </w:r>
          </w:p>
          <w:p w14:paraId="36E43298" w14:textId="77777777" w:rsidR="00AB35DE" w:rsidRPr="00B54884" w:rsidRDefault="00AB35DE" w:rsidP="00AB35DE">
            <w:pPr>
              <w:ind w:firstLine="709"/>
              <w:rPr>
                <w:rFonts w:ascii="Arial" w:hAnsi="Arial" w:cs="Arial"/>
                <w:sz w:val="22"/>
                <w:szCs w:val="22"/>
              </w:rPr>
            </w:pPr>
            <w:r w:rsidRPr="00B54884">
              <w:rPr>
                <w:rFonts w:ascii="Arial" w:hAnsi="Arial" w:cs="Arial"/>
                <w:sz w:val="22"/>
                <w:szCs w:val="22"/>
              </w:rPr>
              <w:t>De acordo com a descrição:</w:t>
            </w:r>
          </w:p>
          <w:p w14:paraId="6B75D193" w14:textId="77777777" w:rsidR="00AB35DE" w:rsidRPr="00B54884" w:rsidRDefault="00AB35DE" w:rsidP="00AB35DE">
            <w:pPr>
              <w:ind w:firstLine="709"/>
              <w:rPr>
                <w:rFonts w:ascii="Arial" w:hAnsi="Arial" w:cs="Arial"/>
                <w:sz w:val="22"/>
                <w:szCs w:val="22"/>
              </w:rPr>
            </w:pPr>
          </w:p>
          <w:p w14:paraId="21F5E4DF" w14:textId="77777777" w:rsidR="00AB35DE" w:rsidRPr="00B54884" w:rsidRDefault="00AB35DE" w:rsidP="00AB35DE">
            <w:pPr>
              <w:ind w:firstLine="709"/>
              <w:rPr>
                <w:rFonts w:ascii="Arial" w:hAnsi="Arial" w:cs="Arial"/>
                <w:sz w:val="22"/>
                <w:szCs w:val="22"/>
              </w:rPr>
            </w:pPr>
            <w:r w:rsidRPr="00B54884">
              <w:rPr>
                <w:rFonts w:ascii="Arial" w:hAnsi="Arial" w:cs="Arial"/>
                <w:sz w:val="22"/>
                <w:szCs w:val="22"/>
              </w:rPr>
              <w:lastRenderedPageBreak/>
              <w:t>Pernas (anterior e posteriormente): 36%</w:t>
            </w:r>
          </w:p>
          <w:p w14:paraId="715A0B36" w14:textId="77777777" w:rsidR="00AB35DE" w:rsidRPr="00B54884" w:rsidRDefault="00AB35DE" w:rsidP="00AB35DE">
            <w:pPr>
              <w:ind w:firstLine="709"/>
              <w:rPr>
                <w:rFonts w:ascii="Arial" w:hAnsi="Arial" w:cs="Arial"/>
                <w:sz w:val="22"/>
                <w:szCs w:val="22"/>
              </w:rPr>
            </w:pPr>
            <w:r w:rsidRPr="00B54884">
              <w:rPr>
                <w:rFonts w:ascii="Arial" w:hAnsi="Arial" w:cs="Arial"/>
                <w:sz w:val="22"/>
                <w:szCs w:val="22"/>
              </w:rPr>
              <w:t>Região genital: 1%</w:t>
            </w:r>
          </w:p>
          <w:p w14:paraId="266D0C68" w14:textId="77777777" w:rsidR="00AB35DE" w:rsidRPr="00B54884" w:rsidRDefault="00AB35DE" w:rsidP="00AB35DE">
            <w:pPr>
              <w:ind w:firstLine="709"/>
              <w:rPr>
                <w:rFonts w:ascii="Arial" w:hAnsi="Arial" w:cs="Arial"/>
                <w:sz w:val="22"/>
                <w:szCs w:val="22"/>
              </w:rPr>
            </w:pPr>
            <w:r w:rsidRPr="00B54884">
              <w:rPr>
                <w:rFonts w:ascii="Arial" w:hAnsi="Arial" w:cs="Arial"/>
                <w:sz w:val="22"/>
                <w:szCs w:val="22"/>
              </w:rPr>
              <w:t>Tórax e abdômen: 18%</w:t>
            </w:r>
          </w:p>
          <w:p w14:paraId="4081B9F0" w14:textId="77777777" w:rsidR="00AB35DE" w:rsidRPr="00B54884" w:rsidRDefault="00AB35DE" w:rsidP="00AB35DE">
            <w:pPr>
              <w:ind w:firstLine="709"/>
              <w:rPr>
                <w:rFonts w:ascii="Arial" w:hAnsi="Arial" w:cs="Arial"/>
                <w:sz w:val="22"/>
                <w:szCs w:val="22"/>
              </w:rPr>
            </w:pPr>
            <w:r w:rsidRPr="00B54884">
              <w:rPr>
                <w:rFonts w:ascii="Arial" w:hAnsi="Arial" w:cs="Arial"/>
                <w:sz w:val="22"/>
                <w:szCs w:val="22"/>
              </w:rPr>
              <w:t>Dorso: 18%</w:t>
            </w:r>
          </w:p>
          <w:p w14:paraId="4BC702F4" w14:textId="77777777" w:rsidR="00AB35DE" w:rsidRPr="00B54884" w:rsidRDefault="00AB35DE" w:rsidP="00AB35DE">
            <w:pPr>
              <w:ind w:firstLine="709"/>
              <w:rPr>
                <w:rFonts w:ascii="Arial" w:hAnsi="Arial" w:cs="Arial"/>
                <w:sz w:val="22"/>
                <w:szCs w:val="22"/>
              </w:rPr>
            </w:pPr>
            <w:r w:rsidRPr="00B54884">
              <w:rPr>
                <w:rFonts w:ascii="Arial" w:hAnsi="Arial" w:cs="Arial"/>
                <w:sz w:val="22"/>
                <w:szCs w:val="22"/>
              </w:rPr>
              <w:t>Braço direito (região posterior, então estimamos metade): ~4.5%</w:t>
            </w:r>
          </w:p>
          <w:p w14:paraId="2CC93185" w14:textId="77777777" w:rsidR="00AB35DE" w:rsidRPr="00B54884" w:rsidRDefault="00AB35DE" w:rsidP="00AB35DE">
            <w:pPr>
              <w:ind w:firstLine="709"/>
              <w:rPr>
                <w:rFonts w:ascii="Arial" w:hAnsi="Arial" w:cs="Arial"/>
                <w:sz w:val="22"/>
                <w:szCs w:val="22"/>
              </w:rPr>
            </w:pPr>
            <w:r w:rsidRPr="00B54884">
              <w:rPr>
                <w:rFonts w:ascii="Arial" w:hAnsi="Arial" w:cs="Arial"/>
                <w:sz w:val="22"/>
                <w:szCs w:val="22"/>
              </w:rPr>
              <w:t>Face (parte da cabeça): Estimando metade do valor da cabeça, temos ~4.5%</w:t>
            </w:r>
          </w:p>
          <w:p w14:paraId="33B9F17F" w14:textId="3D7D7DDA" w:rsidR="00AB35DE" w:rsidRPr="00B54884" w:rsidRDefault="00AB35DE" w:rsidP="00AB35DE">
            <w:pPr>
              <w:pStyle w:val="PargrafodaLista"/>
              <w:widowControl w:val="0"/>
              <w:spacing w:before="120" w:after="120" w:line="276" w:lineRule="auto"/>
              <w:ind w:left="709" w:right="507"/>
              <w:jc w:val="both"/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B54884">
              <w:rPr>
                <w:rFonts w:ascii="Arial" w:hAnsi="Arial" w:cs="Arial"/>
                <w:sz w:val="22"/>
                <w:szCs w:val="22"/>
              </w:rPr>
              <w:t>Somando todas essas áreas, temos uma área queimada total de aproximadamente 82%. Considerando o grau das queimaduras (segundo grau profundo e terceiro grau em diversas regiões), o caso é extremamente grave.</w:t>
            </w:r>
          </w:p>
          <w:p w14:paraId="2343CAE9" w14:textId="77777777" w:rsidR="00AB35DE" w:rsidRPr="00B54884" w:rsidRDefault="00AB35DE" w:rsidP="00AB35DE">
            <w:pPr>
              <w:widowControl w:val="0"/>
              <w:spacing w:before="120" w:after="120" w:line="276" w:lineRule="auto"/>
              <w:ind w:right="507"/>
              <w:jc w:val="both"/>
              <w:rPr>
                <w:rFonts w:eastAsia="Calibri"/>
                <w:bCs/>
                <w:sz w:val="22"/>
                <w:szCs w:val="22"/>
              </w:rPr>
            </w:pPr>
          </w:p>
          <w:p w14:paraId="0A555C82" w14:textId="659BC275" w:rsidR="0001672A" w:rsidRPr="00B54884" w:rsidRDefault="00C10B8A" w:rsidP="00352512">
            <w:pPr>
              <w:pStyle w:val="PargrafodaLista"/>
              <w:widowControl w:val="0"/>
              <w:numPr>
                <w:ilvl w:val="0"/>
                <w:numId w:val="2"/>
              </w:numPr>
              <w:spacing w:before="120" w:after="120" w:line="276" w:lineRule="auto"/>
              <w:ind w:left="709" w:right="507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B54884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Qual a</w:t>
            </w:r>
            <w:r w:rsidR="0001672A" w:rsidRPr="00B54884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importância da reposição hídrica em pacientes queimados nas 24 horas subsequentes ao acidente</w:t>
            </w:r>
            <w:r w:rsidRPr="00B54884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?</w:t>
            </w:r>
          </w:p>
          <w:p w14:paraId="2B90A3CD" w14:textId="23F6CEA2" w:rsidR="00AB35DE" w:rsidRPr="00B54884" w:rsidRDefault="00AB35DE" w:rsidP="00AB35DE">
            <w:pPr>
              <w:ind w:left="709"/>
              <w:rPr>
                <w:rFonts w:ascii="Arial" w:hAnsi="Arial" w:cs="Arial"/>
                <w:sz w:val="22"/>
                <w:szCs w:val="22"/>
              </w:rPr>
            </w:pPr>
            <w:r w:rsidRPr="00B54884">
              <w:rPr>
                <w:rFonts w:ascii="Arial" w:hAnsi="Arial" w:cs="Arial"/>
                <w:sz w:val="22"/>
                <w:szCs w:val="22"/>
              </w:rPr>
              <w:t>A reposição hídrica é fundamental em pacientes queimados devido à perda significativa de fluidos através da pele lesionada, o que pode levar à desidratação e choque hipovolêmico. A hidratação adequada ajuda a manter a perfusão dos tecidos, promove a cicatrização e previne complicações renais. O cálculo da necessidade de fluidos é baseado na extensão e profundidade das queimaduras, bem como no peso do paciente.</w:t>
            </w:r>
          </w:p>
          <w:p w14:paraId="56049812" w14:textId="77777777" w:rsidR="00AB35DE" w:rsidRPr="00B54884" w:rsidRDefault="00AB35DE" w:rsidP="00AB35DE">
            <w:pPr>
              <w:ind w:left="709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860F3E7" w14:textId="561FB473" w:rsidR="00C10B8A" w:rsidRPr="00B54884" w:rsidRDefault="00C10B8A" w:rsidP="00352512">
            <w:pPr>
              <w:pStyle w:val="PargrafodaLista"/>
              <w:widowControl w:val="0"/>
              <w:numPr>
                <w:ilvl w:val="0"/>
                <w:numId w:val="2"/>
              </w:numPr>
              <w:spacing w:before="120" w:after="120" w:line="276" w:lineRule="auto"/>
              <w:ind w:left="709" w:right="507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B54884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Por que os membros do paciente foram mantidos elevados logo após a lesão?</w:t>
            </w:r>
          </w:p>
          <w:p w14:paraId="77536A3E" w14:textId="609B9B54" w:rsidR="00AB35DE" w:rsidRPr="00B54884" w:rsidRDefault="00AB35DE" w:rsidP="00AB35DE">
            <w:pPr>
              <w:ind w:left="709"/>
              <w:rPr>
                <w:rFonts w:ascii="Arial" w:hAnsi="Arial" w:cs="Arial"/>
                <w:sz w:val="22"/>
                <w:szCs w:val="22"/>
              </w:rPr>
            </w:pPr>
            <w:r w:rsidRPr="00B54884">
              <w:rPr>
                <w:rFonts w:ascii="Arial" w:hAnsi="Arial" w:cs="Arial"/>
                <w:sz w:val="22"/>
                <w:szCs w:val="22"/>
              </w:rPr>
              <w:t>Manter os membros elevados ajuda a reduzir o inchaço (edema) que frequentemente ocorre após uma queimadura. A elevação ajuda a diminuir a pressão no tecido lesionado, o que pode aliviar a dor e prevenir mais danos ao tecido. Também ajuda na circulação e pode prevenir complicações como a síndrome compartimental.</w:t>
            </w:r>
          </w:p>
          <w:p w14:paraId="1F9DB0BB" w14:textId="77777777" w:rsidR="00AB35DE" w:rsidRPr="00B54884" w:rsidRDefault="00AB35DE" w:rsidP="00AB35DE">
            <w:pPr>
              <w:ind w:left="709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802B136" w14:textId="1A342CA4" w:rsidR="00C10B8A" w:rsidRPr="00B54884" w:rsidRDefault="00C10B8A" w:rsidP="00352512">
            <w:pPr>
              <w:pStyle w:val="PargrafodaLista"/>
              <w:widowControl w:val="0"/>
              <w:numPr>
                <w:ilvl w:val="0"/>
                <w:numId w:val="2"/>
              </w:numPr>
              <w:spacing w:before="120" w:after="120" w:line="276" w:lineRule="auto"/>
              <w:ind w:left="709" w:right="507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B54884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Qual o papel da fisioterapia no curto prazo, no caso do paciente acima, considerando os aspectos dermatofuncionais, respiratórios e cinesioterapia?</w:t>
            </w:r>
          </w:p>
          <w:p w14:paraId="0F997560" w14:textId="2D6997B8" w:rsidR="00AB35DE" w:rsidRPr="00B54884" w:rsidRDefault="00AB35DE" w:rsidP="00AB35DE">
            <w:pPr>
              <w:ind w:left="709"/>
              <w:rPr>
                <w:rFonts w:ascii="Arial" w:hAnsi="Arial" w:cs="Arial"/>
                <w:sz w:val="22"/>
                <w:szCs w:val="22"/>
              </w:rPr>
            </w:pPr>
            <w:r w:rsidRPr="00B54884">
              <w:rPr>
                <w:rFonts w:ascii="Arial" w:hAnsi="Arial" w:cs="Arial"/>
                <w:b/>
                <w:sz w:val="22"/>
                <w:szCs w:val="22"/>
                <w:u w:val="single"/>
              </w:rPr>
              <w:t>Dermatofuncionais:</w:t>
            </w:r>
            <w:r w:rsidRPr="00B54884">
              <w:rPr>
                <w:rFonts w:ascii="Arial" w:hAnsi="Arial" w:cs="Arial"/>
                <w:sz w:val="22"/>
                <w:szCs w:val="22"/>
              </w:rPr>
              <w:t xml:space="preserve"> A fisioterapia pode ajudar na prevenção de cicatrizes hipertróficas e contraturas, através da aplicação de técnicas como massagem, mobilização de tecidos moles e uso de órteses.</w:t>
            </w:r>
          </w:p>
          <w:p w14:paraId="0D388FA3" w14:textId="77777777" w:rsidR="00AB35DE" w:rsidRPr="00B54884" w:rsidRDefault="00AB35DE" w:rsidP="00AB35DE">
            <w:pPr>
              <w:rPr>
                <w:rFonts w:ascii="Arial" w:hAnsi="Arial" w:cs="Arial"/>
                <w:sz w:val="22"/>
                <w:szCs w:val="22"/>
              </w:rPr>
            </w:pPr>
          </w:p>
          <w:p w14:paraId="4DEB16B0" w14:textId="77777777" w:rsidR="00AB35DE" w:rsidRPr="00B54884" w:rsidRDefault="00AB35DE" w:rsidP="00AB35DE">
            <w:pPr>
              <w:ind w:left="709"/>
              <w:rPr>
                <w:rFonts w:ascii="Arial" w:hAnsi="Arial" w:cs="Arial"/>
                <w:sz w:val="22"/>
                <w:szCs w:val="22"/>
              </w:rPr>
            </w:pPr>
            <w:r w:rsidRPr="00B54884">
              <w:rPr>
                <w:rFonts w:ascii="Arial" w:hAnsi="Arial" w:cs="Arial"/>
                <w:b/>
                <w:sz w:val="22"/>
                <w:szCs w:val="22"/>
                <w:u w:val="single"/>
              </w:rPr>
              <w:t>Respiratórios:</w:t>
            </w:r>
            <w:r w:rsidRPr="00B54884">
              <w:rPr>
                <w:rFonts w:ascii="Arial" w:hAnsi="Arial" w:cs="Arial"/>
                <w:sz w:val="22"/>
                <w:szCs w:val="22"/>
              </w:rPr>
              <w:t xml:space="preserve"> Considerando que o paciente inalou fumaça, ele pode apresentar comprometimento respiratório. A fisioterapia respiratória pode ajudar na remoção de secreções, melhorar a troca gasosa e fortalecer a musculatura respiratória.</w:t>
            </w:r>
          </w:p>
          <w:p w14:paraId="4ED239CD" w14:textId="77777777" w:rsidR="00AB35DE" w:rsidRPr="00B54884" w:rsidRDefault="00AB35DE" w:rsidP="00AB35DE">
            <w:pPr>
              <w:rPr>
                <w:rFonts w:ascii="Arial" w:hAnsi="Arial" w:cs="Arial"/>
                <w:sz w:val="22"/>
                <w:szCs w:val="22"/>
              </w:rPr>
            </w:pPr>
          </w:p>
          <w:p w14:paraId="72003B78" w14:textId="77777777" w:rsidR="00AB35DE" w:rsidRPr="00B54884" w:rsidRDefault="00AB35DE" w:rsidP="00AB35DE">
            <w:pPr>
              <w:ind w:left="709"/>
              <w:rPr>
                <w:rFonts w:ascii="Arial" w:hAnsi="Arial" w:cs="Arial"/>
                <w:sz w:val="22"/>
                <w:szCs w:val="22"/>
              </w:rPr>
            </w:pPr>
            <w:r w:rsidRPr="00B54884">
              <w:rPr>
                <w:rFonts w:ascii="Arial" w:hAnsi="Arial" w:cs="Arial"/>
                <w:b/>
                <w:sz w:val="22"/>
                <w:szCs w:val="22"/>
                <w:u w:val="single"/>
              </w:rPr>
              <w:t>Cinesioterapia:</w:t>
            </w:r>
            <w:r w:rsidRPr="00B54884">
              <w:rPr>
                <w:rFonts w:ascii="Arial" w:hAnsi="Arial" w:cs="Arial"/>
                <w:sz w:val="22"/>
                <w:szCs w:val="22"/>
              </w:rPr>
              <w:t xml:space="preserve"> A mobilização precoce é crucial para prevenir a rigidez articular e a atrofia muscular. A fisioterapia pode orientar exercícios de amplitude de movimento, alongamentos e fortalecimento muscular.</w:t>
            </w:r>
          </w:p>
          <w:p w14:paraId="5E37255A" w14:textId="04BBA45B" w:rsidR="00B54884" w:rsidRPr="00B54884" w:rsidRDefault="00B54884" w:rsidP="00AB35DE">
            <w:pPr>
              <w:widowControl w:val="0"/>
              <w:spacing w:before="120" w:after="120" w:line="276" w:lineRule="auto"/>
              <w:ind w:right="507"/>
              <w:jc w:val="both"/>
              <w:rPr>
                <w:rFonts w:eastAsia="Calibri"/>
                <w:bCs/>
                <w:sz w:val="22"/>
                <w:szCs w:val="22"/>
              </w:rPr>
            </w:pPr>
          </w:p>
          <w:p w14:paraId="227402FD" w14:textId="0CDD9AED" w:rsidR="00C10B8A" w:rsidRPr="00B54884" w:rsidRDefault="00C10B8A" w:rsidP="00352512">
            <w:pPr>
              <w:pStyle w:val="PargrafodaLista"/>
              <w:widowControl w:val="0"/>
              <w:numPr>
                <w:ilvl w:val="0"/>
                <w:numId w:val="2"/>
              </w:numPr>
              <w:spacing w:before="120" w:after="120" w:line="276" w:lineRule="auto"/>
              <w:ind w:left="709" w:right="507"/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B54884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Seis meses após o ocorrido, paciente foi novamente encaminhado para fisioterapia devido a redução de mobilidade e contraturas (veja imagens abaixo). De que forma a fisioterapia poderia ajudar nesse caso? Cite e explique pelo menos 2 tipos de intervenção.</w:t>
            </w:r>
          </w:p>
          <w:p w14:paraId="03E355EE" w14:textId="1B8B0144" w:rsidR="00B54884" w:rsidRPr="00B54884" w:rsidRDefault="00B54884" w:rsidP="00B54884">
            <w:pPr>
              <w:ind w:left="709"/>
              <w:rPr>
                <w:rFonts w:ascii="Arial" w:hAnsi="Arial" w:cs="Arial"/>
                <w:sz w:val="22"/>
                <w:szCs w:val="22"/>
              </w:rPr>
            </w:pPr>
            <w:r w:rsidRPr="00B54884">
              <w:rPr>
                <w:rFonts w:ascii="Arial" w:hAnsi="Arial" w:cs="Arial"/>
                <w:b/>
                <w:sz w:val="22"/>
                <w:szCs w:val="22"/>
                <w:u w:val="single"/>
              </w:rPr>
              <w:t>Mobilização de Tecidos Moles e Alongamentos:</w:t>
            </w:r>
            <w:r w:rsidRPr="00B54884">
              <w:rPr>
                <w:rFonts w:ascii="Arial" w:hAnsi="Arial" w:cs="Arial"/>
                <w:sz w:val="22"/>
                <w:szCs w:val="22"/>
              </w:rPr>
              <w:t xml:space="preserve"> A fisioterapia pode utilizar técnicas de mobilização manual para soltar tecidos cicatriciais e aderências que estão limitando o movimento. Alongamentos regulares ajudarão a aumentar a flexibilidade dos tecidos e a prevenir a formação de contraturas.</w:t>
            </w:r>
          </w:p>
          <w:p w14:paraId="43643858" w14:textId="77777777" w:rsidR="00B54884" w:rsidRPr="00B54884" w:rsidRDefault="00B54884" w:rsidP="00B54884">
            <w:pPr>
              <w:rPr>
                <w:rFonts w:ascii="Arial" w:hAnsi="Arial" w:cs="Arial"/>
                <w:sz w:val="22"/>
                <w:szCs w:val="22"/>
              </w:rPr>
            </w:pPr>
          </w:p>
          <w:p w14:paraId="76D25A3D" w14:textId="77777777" w:rsidR="00B54884" w:rsidRPr="00B54884" w:rsidRDefault="00B54884" w:rsidP="00B54884">
            <w:pPr>
              <w:ind w:left="709"/>
              <w:rPr>
                <w:rFonts w:ascii="Arial" w:hAnsi="Arial" w:cs="Arial"/>
                <w:sz w:val="22"/>
                <w:szCs w:val="22"/>
              </w:rPr>
            </w:pPr>
            <w:r w:rsidRPr="00B54884">
              <w:rPr>
                <w:rFonts w:ascii="Arial" w:hAnsi="Arial" w:cs="Arial"/>
                <w:b/>
                <w:sz w:val="22"/>
                <w:szCs w:val="22"/>
                <w:u w:val="single"/>
              </w:rPr>
              <w:lastRenderedPageBreak/>
              <w:t>Terapia com Órteses e Talas:</w:t>
            </w:r>
            <w:r w:rsidRPr="00B54884">
              <w:rPr>
                <w:rFonts w:ascii="Arial" w:hAnsi="Arial" w:cs="Arial"/>
                <w:sz w:val="22"/>
                <w:szCs w:val="22"/>
              </w:rPr>
              <w:t xml:space="preserve"> Órteses e talas podem ser usadas para manter uma articulação em uma posição estendida, prevenindo ou tratando contraturas. Eles fornecem uma força constante e suave para melhorar a amplitude de movimento.</w:t>
            </w:r>
          </w:p>
          <w:p w14:paraId="2C8D272D" w14:textId="3C08DCFC" w:rsidR="00B54884" w:rsidRPr="00B54884" w:rsidRDefault="00B54884" w:rsidP="00B54884">
            <w:pPr>
              <w:pStyle w:val="PargrafodaLista"/>
              <w:widowControl w:val="0"/>
              <w:spacing w:before="120" w:after="120" w:line="276" w:lineRule="auto"/>
              <w:ind w:left="709" w:right="507"/>
              <w:jc w:val="both"/>
              <w:rPr>
                <w:rFonts w:eastAsia="Calibri"/>
                <w:bCs/>
                <w:sz w:val="22"/>
                <w:szCs w:val="22"/>
              </w:rPr>
            </w:pPr>
          </w:p>
          <w:p w14:paraId="43680CCE" w14:textId="2808AC7B" w:rsidR="00352512" w:rsidRPr="00352512" w:rsidRDefault="00352512" w:rsidP="00352512">
            <w:pPr>
              <w:widowControl w:val="0"/>
              <w:spacing w:before="120" w:after="120" w:line="276" w:lineRule="auto"/>
              <w:rPr>
                <w:rFonts w:eastAsia="Calibri"/>
                <w:bCs/>
                <w:sz w:val="22"/>
                <w:szCs w:val="22"/>
              </w:rPr>
            </w:pPr>
          </w:p>
          <w:p w14:paraId="4464D9E5" w14:textId="77777777" w:rsidR="0001672A" w:rsidRDefault="00C10B8A" w:rsidP="00352512">
            <w:pPr>
              <w:pStyle w:val="PargrafodaLista"/>
              <w:widowControl w:val="0"/>
              <w:spacing w:before="120" w:after="120" w:line="276" w:lineRule="auto"/>
              <w:rPr>
                <w:rFonts w:eastAsia="Calibri"/>
                <w:bCs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265386B1" wp14:editId="7336801C">
                  <wp:extent cx="3895725" cy="6098580"/>
                  <wp:effectExtent l="0" t="0" r="0" b="0"/>
                  <wp:docPr id="1883804872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274" cy="6102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DDC17A" w14:textId="059A458D" w:rsidR="00352512" w:rsidRPr="00352512" w:rsidRDefault="00352512" w:rsidP="00352512">
            <w:pPr>
              <w:widowControl w:val="0"/>
              <w:spacing w:before="120" w:after="120" w:line="276" w:lineRule="auto"/>
              <w:rPr>
                <w:rFonts w:eastAsia="Calibri"/>
                <w:bCs/>
                <w:sz w:val="22"/>
                <w:szCs w:val="22"/>
              </w:rPr>
            </w:pPr>
          </w:p>
        </w:tc>
      </w:tr>
    </w:tbl>
    <w:p w14:paraId="22713824" w14:textId="77777777" w:rsidR="007B0EDD" w:rsidRPr="0001672A" w:rsidRDefault="007B0EDD">
      <w:pPr>
        <w:rPr>
          <w:bCs/>
        </w:rPr>
      </w:pPr>
    </w:p>
    <w:sectPr w:rsidR="007B0EDD" w:rsidRPr="0001672A">
      <w:pgSz w:w="11900" w:h="16840"/>
      <w:pgMar w:top="1440" w:right="1080" w:bottom="1440" w:left="108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571FC"/>
    <w:multiLevelType w:val="hybridMultilevel"/>
    <w:tmpl w:val="7F6244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325E2"/>
    <w:multiLevelType w:val="hybridMultilevel"/>
    <w:tmpl w:val="7FCAFF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EDD"/>
    <w:rsid w:val="000127A6"/>
    <w:rsid w:val="0001672A"/>
    <w:rsid w:val="000B1D78"/>
    <w:rsid w:val="000F71B5"/>
    <w:rsid w:val="0017498F"/>
    <w:rsid w:val="001A5ECB"/>
    <w:rsid w:val="002059E3"/>
    <w:rsid w:val="002924AC"/>
    <w:rsid w:val="00310DC7"/>
    <w:rsid w:val="00352512"/>
    <w:rsid w:val="00431853"/>
    <w:rsid w:val="0053134E"/>
    <w:rsid w:val="007104AA"/>
    <w:rsid w:val="007515F4"/>
    <w:rsid w:val="007B0EDD"/>
    <w:rsid w:val="008A6D17"/>
    <w:rsid w:val="00A60CFE"/>
    <w:rsid w:val="00AB35DE"/>
    <w:rsid w:val="00B54884"/>
    <w:rsid w:val="00C10B8A"/>
    <w:rsid w:val="00DE2921"/>
    <w:rsid w:val="00F21D6C"/>
    <w:rsid w:val="00F46460"/>
    <w:rsid w:val="00F52206"/>
    <w:rsid w:val="00FA5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C6A13"/>
  <w15:docId w15:val="{0860B103-CA16-451C-A9D9-6797C07E3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1D6C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54" w:type="dxa"/>
        <w:right w:w="54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05A5E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8F48C3"/>
    <w:pPr>
      <w:ind w:left="720"/>
      <w:contextualSpacing/>
    </w:pPr>
  </w:style>
  <w:style w:type="table" w:customStyle="1" w:styleId="a0">
    <w:basedOn w:val="TableNormal1"/>
    <w:tblPr>
      <w:tblStyleRowBandSize w:val="1"/>
      <w:tblStyleColBandSize w:val="1"/>
      <w:tblCellMar>
        <w:left w:w="54" w:type="dxa"/>
        <w:right w:w="54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54" w:type="dxa"/>
        <w:right w:w="54" w:type="dxa"/>
      </w:tblCellMar>
    </w:tblPr>
  </w:style>
  <w:style w:type="table" w:styleId="Tabelacomgrade">
    <w:name w:val="Table Grid"/>
    <w:basedOn w:val="Tabelanormal"/>
    <w:uiPriority w:val="39"/>
    <w:rsid w:val="00310D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1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nVSMkphLJPrW48wDRCE+OwZrRg==">CgMxLjA4AHIhMU13c3hmNElmVzFlMHpOd2NudHpWTThPQzhORGZTOFdT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828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Schenatto</dc:creator>
  <cp:lastModifiedBy>usuario</cp:lastModifiedBy>
  <cp:revision>2</cp:revision>
  <dcterms:created xsi:type="dcterms:W3CDTF">2023-08-16T22:56:00Z</dcterms:created>
  <dcterms:modified xsi:type="dcterms:W3CDTF">2023-08-16T22:56:00Z</dcterms:modified>
</cp:coreProperties>
</file>